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2D723B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EF1A518" w:rsidR="00F92268" w:rsidRPr="002D723B" w:rsidRDefault="00E066A8" w:rsidP="00F246C7">
            <w:pPr>
              <w:pStyle w:val="RefTableHeader"/>
            </w:pPr>
            <w:r>
              <w:t>6105-A</w:t>
            </w:r>
          </w:p>
        </w:tc>
      </w:tr>
    </w:tbl>
    <w:p w14:paraId="74FBA5B4" w14:textId="77777777" w:rsidR="002D723B" w:rsidRDefault="002D723B" w:rsidP="002D723B">
      <w:pPr>
        <w:pStyle w:val="BodyText"/>
        <w:spacing w:after="0"/>
        <w:rPr>
          <w:b/>
          <w:bCs/>
          <w:sz w:val="16"/>
          <w:szCs w:val="16"/>
        </w:rPr>
        <w:sectPr w:rsidR="002D723B" w:rsidSect="004D6C37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D94F0F" w14:textId="77777777" w:rsidR="00E066A8" w:rsidRPr="00BD1CC1" w:rsidRDefault="00B61A8B" w:rsidP="00E066A8">
      <w:pPr>
        <w:pStyle w:val="Heading1"/>
      </w:pPr>
      <w:r w:rsidRPr="002D723B">
        <w:rPr>
          <w:lang w:val="pt-BR"/>
        </w:rPr>
        <w:t xml:space="preserve">Specialty </w:t>
      </w:r>
      <w:r w:rsidR="0024395C">
        <w:rPr>
          <w:lang w:val="pt-BR"/>
        </w:rPr>
        <w:t>Guideline Management</w:t>
      </w:r>
      <w:r w:rsidR="008C54D9" w:rsidRPr="002D723B">
        <w:rPr>
          <w:lang w:val="pt-BR"/>
        </w:rPr>
        <w:br/>
      </w:r>
      <w:r w:rsidR="00E066A8" w:rsidRPr="00FB2C40">
        <w:t>Izervay</w:t>
      </w:r>
    </w:p>
    <w:p w14:paraId="0EBAC8D8" w14:textId="77777777" w:rsidR="00E066A8" w:rsidRPr="00BD1CC1" w:rsidRDefault="00E066A8" w:rsidP="00E066A8">
      <w:pPr>
        <w:pStyle w:val="Heading2"/>
      </w:pPr>
      <w:r w:rsidRPr="00BD1CC1">
        <w:t>Products Referenced by this Document</w:t>
      </w:r>
    </w:p>
    <w:p w14:paraId="2EB7CA81" w14:textId="77777777" w:rsidR="00E066A8" w:rsidRPr="00BD1CC1" w:rsidRDefault="00E066A8" w:rsidP="00E066A8">
      <w:pPr>
        <w:pStyle w:val="BodyText"/>
      </w:pPr>
      <w:r w:rsidRPr="00BD1CC1">
        <w:t xml:space="preserve">Drugs that are listed in the following table include both brand and generic and all dosage forms and strengths unless otherwise stated. </w:t>
      </w:r>
      <w:r>
        <w:t>Over-the-counter (</w:t>
      </w:r>
      <w:r w:rsidRPr="00BD1CC1">
        <w:t>OTC</w:t>
      </w:r>
      <w:r>
        <w:t>)</w:t>
      </w:r>
      <w:r w:rsidRPr="00BD1CC1">
        <w:t xml:space="preserve"> products are not included unless otherwise stated.</w:t>
      </w:r>
    </w:p>
    <w:tbl>
      <w:tblPr>
        <w:tblStyle w:val="TableGrid"/>
        <w:tblW w:w="1068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340"/>
        <w:gridCol w:w="5340"/>
      </w:tblGrid>
      <w:tr w:rsidR="00E066A8" w:rsidRPr="00BD1CC1" w14:paraId="3C602A23" w14:textId="77777777" w:rsidTr="00365997">
        <w:trPr>
          <w:cantSplit/>
          <w:trHeight w:val="288"/>
          <w:tblHeader/>
        </w:trPr>
        <w:tc>
          <w:tcPr>
            <w:tcW w:w="5340" w:type="dxa"/>
            <w:vAlign w:val="center"/>
          </w:tcPr>
          <w:p w14:paraId="5BE08E01" w14:textId="77777777" w:rsidR="00E066A8" w:rsidRPr="00BD1CC1" w:rsidRDefault="00E066A8" w:rsidP="00365997">
            <w:pPr>
              <w:pStyle w:val="TableHeader"/>
              <w:spacing w:after="0"/>
            </w:pPr>
            <w:bookmarkStart w:id="0" w:name="_Hlk159603270"/>
            <w:r w:rsidRPr="00BD1CC1">
              <w:t>Brand Name</w:t>
            </w:r>
          </w:p>
        </w:tc>
        <w:tc>
          <w:tcPr>
            <w:tcW w:w="5340" w:type="dxa"/>
            <w:vAlign w:val="center"/>
          </w:tcPr>
          <w:p w14:paraId="50B49FB8" w14:textId="77777777" w:rsidR="00E066A8" w:rsidRPr="00BD1CC1" w:rsidRDefault="00E066A8" w:rsidP="00365997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E066A8" w:rsidRPr="00BD1CC1" w14:paraId="367CB304" w14:textId="77777777" w:rsidTr="00365997">
        <w:trPr>
          <w:cantSplit/>
        </w:trPr>
        <w:tc>
          <w:tcPr>
            <w:tcW w:w="5340" w:type="dxa"/>
          </w:tcPr>
          <w:p w14:paraId="503D67D1" w14:textId="77777777" w:rsidR="00E066A8" w:rsidRPr="00BD1CC1" w:rsidRDefault="00E066A8" w:rsidP="00142F4E">
            <w:pPr>
              <w:pStyle w:val="TableData"/>
              <w:spacing w:after="0"/>
            </w:pPr>
            <w:r w:rsidRPr="001D78EE">
              <w:t>Izervay</w:t>
            </w:r>
          </w:p>
        </w:tc>
        <w:tc>
          <w:tcPr>
            <w:tcW w:w="5340" w:type="dxa"/>
          </w:tcPr>
          <w:p w14:paraId="5EC4945E" w14:textId="77777777" w:rsidR="00E066A8" w:rsidRPr="00BD1CC1" w:rsidRDefault="00E066A8" w:rsidP="00142F4E">
            <w:pPr>
              <w:pStyle w:val="TableData"/>
              <w:spacing w:after="0"/>
            </w:pPr>
            <w:r w:rsidRPr="00FB2C40">
              <w:t>avacincaptad pegol</w:t>
            </w:r>
          </w:p>
        </w:tc>
      </w:tr>
    </w:tbl>
    <w:bookmarkEnd w:id="0"/>
    <w:p w14:paraId="68EC6443" w14:textId="77777777" w:rsidR="00E066A8" w:rsidRDefault="00E066A8" w:rsidP="00E066A8">
      <w:pPr>
        <w:pStyle w:val="Heading2"/>
      </w:pPr>
      <w:r>
        <w:t>Indications</w:t>
      </w:r>
    </w:p>
    <w:p w14:paraId="4FCF46F0" w14:textId="77777777" w:rsidR="00E066A8" w:rsidRPr="00FB2C40" w:rsidRDefault="00E066A8" w:rsidP="00E066A8">
      <w:pPr>
        <w:pStyle w:val="BodyText"/>
      </w:pPr>
      <w:r w:rsidRPr="00FB2C40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5DE154E7" w14:textId="77777777" w:rsidR="00E066A8" w:rsidRPr="00BD1CC1" w:rsidRDefault="00E066A8" w:rsidP="00E066A8">
      <w:pPr>
        <w:pStyle w:val="Heading3"/>
        <w:keepNext w:val="0"/>
      </w:pPr>
      <w:r w:rsidRPr="00BD1CC1">
        <w:t>FDA-</w:t>
      </w:r>
      <w:r>
        <w:t>A</w:t>
      </w:r>
      <w:r w:rsidRPr="00BD1CC1">
        <w:t>pproved Indications</w:t>
      </w:r>
      <w:r>
        <w:rPr>
          <w:vertAlign w:val="superscript"/>
        </w:rPr>
        <w:t>1</w:t>
      </w:r>
    </w:p>
    <w:p w14:paraId="28831B74" w14:textId="77777777" w:rsidR="00E066A8" w:rsidRDefault="00E066A8" w:rsidP="00E066A8">
      <w:pPr>
        <w:pStyle w:val="BodyText"/>
      </w:pPr>
      <w:r>
        <w:t>Izervay is indicated for the treatment of geographic atrophy (GA) secondary to age-related macular degeneration (AMD).</w:t>
      </w:r>
    </w:p>
    <w:p w14:paraId="48C0FC71" w14:textId="77777777" w:rsidR="00E066A8" w:rsidRPr="00F224D9" w:rsidRDefault="00E066A8" w:rsidP="00E066A8">
      <w:pPr>
        <w:pStyle w:val="BodyText"/>
      </w:pPr>
      <w:r>
        <w:t>All other indications are considered experimental/investigational and not medically necessary</w:t>
      </w:r>
      <w:r w:rsidRPr="00BD1CC1">
        <w:t>.</w:t>
      </w:r>
    </w:p>
    <w:p w14:paraId="2EA169F2" w14:textId="77777777" w:rsidR="00E066A8" w:rsidRPr="00BD1CC1" w:rsidRDefault="00E066A8" w:rsidP="00E066A8">
      <w:pPr>
        <w:pStyle w:val="Heading2"/>
      </w:pPr>
      <w:r w:rsidRPr="00BD1CC1">
        <w:t>Documentation</w:t>
      </w:r>
    </w:p>
    <w:p w14:paraId="016A3C2A" w14:textId="77777777" w:rsidR="00E066A8" w:rsidRDefault="00E066A8" w:rsidP="00E066A8">
      <w:pPr>
        <w:pStyle w:val="BodyText"/>
      </w:pPr>
      <w:r>
        <w:t>Submission of the following information is necessary to initiate the prior authorization review:</w:t>
      </w:r>
    </w:p>
    <w:p w14:paraId="6392C32A" w14:textId="74B8EC6A" w:rsidR="00E066A8" w:rsidRDefault="00E066A8" w:rsidP="00E066A8">
      <w:pPr>
        <w:pStyle w:val="BodyText"/>
      </w:pPr>
      <w:r>
        <w:t xml:space="preserve">Chart notes or medical records confirming the diagnosis of geographic atrophy (GA) secondary to </w:t>
      </w:r>
      <w:r w:rsidR="4A76439B">
        <w:t>age-related macular degeneration (</w:t>
      </w:r>
      <w:r>
        <w:t>AMD</w:t>
      </w:r>
      <w:r w:rsidR="4E7142CC">
        <w:t>)</w:t>
      </w:r>
      <w:r>
        <w:t>.</w:t>
      </w:r>
    </w:p>
    <w:p w14:paraId="10560D09" w14:textId="292058AD" w:rsidR="00E066A8" w:rsidRPr="00AA1E6A" w:rsidRDefault="00E066A8" w:rsidP="00E066A8">
      <w:pPr>
        <w:pStyle w:val="Heading2"/>
        <w:tabs>
          <w:tab w:val="clear" w:pos="2880"/>
          <w:tab w:val="left" w:pos="9427"/>
        </w:tabs>
      </w:pPr>
      <w:r w:rsidRPr="00BD1CC1">
        <w:lastRenderedPageBreak/>
        <w:t>Exclusions</w:t>
      </w:r>
    </w:p>
    <w:p w14:paraId="13FE3902" w14:textId="209EDC73" w:rsidR="00E066A8" w:rsidRDefault="00E066A8" w:rsidP="001D14BA">
      <w:r>
        <w:t xml:space="preserve">Coverage will not be provided for the treatment of geographic atrophy (GA) secondary to a condition other than </w:t>
      </w:r>
      <w:r w:rsidR="6B556E56">
        <w:t>age-related macular degeneration (</w:t>
      </w:r>
      <w:r>
        <w:t>AMD</w:t>
      </w:r>
      <w:r w:rsidR="77458A62">
        <w:t>)</w:t>
      </w:r>
      <w:r>
        <w:t xml:space="preserve"> (such as Stargardt disease, cone</w:t>
      </w:r>
      <w:r w:rsidR="09E50E91">
        <w:t>-</w:t>
      </w:r>
      <w:r>
        <w:t>rod dystrophy, toxic maculopathies).</w:t>
      </w:r>
    </w:p>
    <w:p w14:paraId="1ADDC730" w14:textId="77777777" w:rsidR="00E066A8" w:rsidRPr="00AA1E6A" w:rsidRDefault="00E066A8" w:rsidP="00E066A8">
      <w:pPr>
        <w:pStyle w:val="Heading2"/>
        <w:tabs>
          <w:tab w:val="left" w:pos="9072"/>
        </w:tabs>
      </w:pPr>
      <w:r w:rsidRPr="00BD1CC1">
        <w:t>Prescriber Specialties</w:t>
      </w:r>
    </w:p>
    <w:p w14:paraId="492F3E86" w14:textId="77777777" w:rsidR="00E066A8" w:rsidRPr="00BD1CC1" w:rsidRDefault="00E066A8" w:rsidP="00EA6B1A">
      <w:r w:rsidRPr="009006CA">
        <w:t>This medication must be prescribed by or in consultation with an ophthalmologist.</w:t>
      </w:r>
    </w:p>
    <w:p w14:paraId="347E7C76" w14:textId="7943A17D" w:rsidR="00E066A8" w:rsidRPr="001D78EE" w:rsidRDefault="00E066A8" w:rsidP="00E066A8">
      <w:pPr>
        <w:pStyle w:val="Heading2"/>
      </w:pPr>
      <w:r>
        <w:t>Coverage Criteria</w:t>
      </w:r>
    </w:p>
    <w:p w14:paraId="73799647" w14:textId="485E139E" w:rsidR="00E066A8" w:rsidRPr="00C42D2C" w:rsidRDefault="00E066A8" w:rsidP="00E066A8">
      <w:pPr>
        <w:pStyle w:val="Heading3"/>
      </w:pPr>
      <w:r w:rsidRPr="00C42D2C">
        <w:t xml:space="preserve">Geographic </w:t>
      </w:r>
      <w:r w:rsidR="009006CA">
        <w:t>A</w:t>
      </w:r>
      <w:r w:rsidRPr="00C42D2C">
        <w:t xml:space="preserve">trophy (GA) </w:t>
      </w:r>
      <w:r w:rsidR="009006CA">
        <w:t>S</w:t>
      </w:r>
      <w:r w:rsidRPr="00C42D2C">
        <w:t xml:space="preserve">econdary to </w:t>
      </w:r>
      <w:r w:rsidR="009006CA">
        <w:t>A</w:t>
      </w:r>
      <w:r w:rsidRPr="00C42D2C">
        <w:t xml:space="preserve">ge-related </w:t>
      </w:r>
      <w:r w:rsidR="009006CA">
        <w:t>M</w:t>
      </w:r>
      <w:r w:rsidRPr="00C42D2C">
        <w:t xml:space="preserve">acular </w:t>
      </w:r>
      <w:r w:rsidR="009006CA">
        <w:t>D</w:t>
      </w:r>
      <w:r w:rsidRPr="00C42D2C">
        <w:t>egeneration (AMD)</w:t>
      </w:r>
      <w:r>
        <w:rPr>
          <w:vertAlign w:val="superscript"/>
        </w:rPr>
        <w:t>1,2</w:t>
      </w:r>
    </w:p>
    <w:p w14:paraId="4AE59FC4" w14:textId="37513321" w:rsidR="00E066A8" w:rsidRPr="001D78EE" w:rsidRDefault="00E066A8" w:rsidP="001D14BA">
      <w:pPr>
        <w:pStyle w:val="BodyText"/>
      </w:pPr>
      <w:bookmarkStart w:id="1" w:name="_Hlk191389906"/>
      <w:r w:rsidRPr="00C42D2C">
        <w:t xml:space="preserve">Authorization of 12 months may be </w:t>
      </w:r>
      <w:bookmarkStart w:id="2" w:name="_Hlk191389958"/>
      <w:r w:rsidRPr="00C42D2C">
        <w:t xml:space="preserve">granted for treatment of geographic atrophy </w:t>
      </w:r>
      <w:r w:rsidR="00917D22">
        <w:t xml:space="preserve">secondary to age-related macular degeneration. </w:t>
      </w:r>
      <w:bookmarkEnd w:id="1"/>
    </w:p>
    <w:bookmarkEnd w:id="2"/>
    <w:p w14:paraId="76A60CE0" w14:textId="77777777" w:rsidR="00784A47" w:rsidRDefault="00784A47" w:rsidP="00784A47">
      <w:pPr>
        <w:pStyle w:val="Heading2"/>
      </w:pPr>
      <w:r w:rsidRPr="00BD1CC1">
        <w:t>Continuation of Therapy</w:t>
      </w:r>
    </w:p>
    <w:p w14:paraId="06596B68" w14:textId="6BCCC5CA" w:rsidR="00784A47" w:rsidRPr="00784A47" w:rsidRDefault="00784A47" w:rsidP="001D14BA">
      <w:pPr>
        <w:pStyle w:val="BodyText"/>
      </w:pPr>
      <w:r w:rsidRPr="002A6527">
        <w:t xml:space="preserve">Authorization of 12 months may be granted for continued treatment in members requesting reauthorization for an indication listed in </w:t>
      </w:r>
      <w:r w:rsidRPr="009E0617">
        <w:t>the coverage criteria section</w:t>
      </w:r>
      <w:r w:rsidRPr="002A6527">
        <w:t xml:space="preserve"> when the member has demonstrated a positive clinical response to therapy (e.g., improvement or maintenance in best corrected visual acuity [BCVA] or visual field, or a reduction in the rate of vision decline or the risk of more severe vision loss).</w:t>
      </w:r>
    </w:p>
    <w:p w14:paraId="34039E1C" w14:textId="77777777" w:rsidR="00E066A8" w:rsidRPr="00F224D9" w:rsidRDefault="00E066A8" w:rsidP="00E066A8">
      <w:pPr>
        <w:pStyle w:val="Heading2"/>
      </w:pPr>
      <w:bookmarkStart w:id="3" w:name="S2.2"/>
      <w:bookmarkStart w:id="4" w:name="section-2.2"/>
      <w:bookmarkStart w:id="5" w:name="section-2.2.1"/>
      <w:bookmarkStart w:id="6" w:name="section-2.2.2"/>
      <w:bookmarkEnd w:id="3"/>
      <w:bookmarkEnd w:id="4"/>
      <w:bookmarkEnd w:id="5"/>
      <w:bookmarkEnd w:id="6"/>
      <w:r w:rsidRPr="00F224D9">
        <w:t>References</w:t>
      </w:r>
    </w:p>
    <w:p w14:paraId="38EA9EC2" w14:textId="29CCCBA6" w:rsidR="009006CA" w:rsidRDefault="00E066A8" w:rsidP="00E066A8">
      <w:pPr>
        <w:pStyle w:val="ReferenceOrdered"/>
        <w:keepLines/>
        <w:numPr>
          <w:ilvl w:val="0"/>
          <w:numId w:val="40"/>
        </w:numPr>
        <w:ind w:left="360"/>
      </w:pPr>
      <w:r>
        <w:t xml:space="preserve">Izervay [package insert]. Parsippany, NJ: Iveric Bio Inc; </w:t>
      </w:r>
      <w:r w:rsidR="00015C98">
        <w:t>February</w:t>
      </w:r>
      <w:r>
        <w:t xml:space="preserve"> 202</w:t>
      </w:r>
      <w:r w:rsidR="00531C93">
        <w:t>5</w:t>
      </w:r>
      <w:r>
        <w:t>.</w:t>
      </w:r>
    </w:p>
    <w:p w14:paraId="58E33888" w14:textId="54BD951D" w:rsidR="00E066A8" w:rsidRDefault="00E066A8" w:rsidP="00EA6B1A">
      <w:pPr>
        <w:pStyle w:val="ReferenceOrdered"/>
        <w:keepLines/>
        <w:numPr>
          <w:ilvl w:val="0"/>
          <w:numId w:val="40"/>
        </w:numPr>
        <w:ind w:left="360"/>
      </w:pPr>
      <w:r>
        <w:t xml:space="preserve">Age-Related Macular Degeneration PPP 2019. American Academy of Ophthalmology. Published October 2019. Accessed </w:t>
      </w:r>
      <w:r w:rsidRPr="00B77CCE">
        <w:t>December 1</w:t>
      </w:r>
      <w:r w:rsidR="00266E79">
        <w:t>3</w:t>
      </w:r>
      <w:r w:rsidRPr="00B77CCE">
        <w:t>, 202</w:t>
      </w:r>
      <w:r w:rsidR="009006CA">
        <w:t>4</w:t>
      </w:r>
      <w:r w:rsidRPr="00B77CCE">
        <w:t>. https://www.aao.org/education/preferred-practice-pattern/age-related-macular-degeneration-ppp</w:t>
      </w:r>
      <w:r>
        <w:t>.</w:t>
      </w:r>
    </w:p>
    <w:sectPr w:rsidR="00E066A8" w:rsidSect="00474E9A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5D650" w14:textId="77777777" w:rsidR="0033420D" w:rsidRDefault="0033420D">
      <w:r>
        <w:separator/>
      </w:r>
    </w:p>
  </w:endnote>
  <w:endnote w:type="continuationSeparator" w:id="0">
    <w:p w14:paraId="5917E2D5" w14:textId="77777777" w:rsidR="0033420D" w:rsidRDefault="0033420D">
      <w:r>
        <w:continuationSeparator/>
      </w:r>
    </w:p>
  </w:endnote>
  <w:endnote w:type="continuationNotice" w:id="1">
    <w:p w14:paraId="5602B88E" w14:textId="77777777" w:rsidR="0033420D" w:rsidRDefault="003342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59C1F8A7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816BFD" w:rsidRPr="00816BFD">
      <w:rPr>
        <w:rFonts w:cs="Arial"/>
        <w:noProof/>
        <w:sz w:val="16"/>
        <w:szCs w:val="16"/>
      </w:rPr>
      <w:t>Izervay</w:t>
    </w:r>
    <w:r w:rsidR="00816BFD">
      <w:rPr>
        <w:rFonts w:cs="Arial"/>
        <w:noProof/>
        <w:snapToGrid w:val="0"/>
        <w:color w:val="000000"/>
        <w:sz w:val="16"/>
        <w:szCs w:val="16"/>
      </w:rPr>
      <w:t xml:space="preserve"> SGM 6105-A</w:t>
    </w:r>
    <w:r w:rsidR="00816BFD" w:rsidRPr="00816BFD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13210F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445157EC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447DFFF" w:rsidR="00F75C81" w:rsidRPr="00AA1E6A" w:rsidRDefault="00C36B72" w:rsidP="00F7164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B71241E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816BFD" w:rsidRPr="00816BFD">
      <w:rPr>
        <w:rFonts w:cs="Arial"/>
        <w:noProof/>
        <w:sz w:val="16"/>
        <w:szCs w:val="16"/>
      </w:rPr>
      <w:t>Izervay</w:t>
    </w:r>
    <w:r w:rsidR="00816BFD">
      <w:rPr>
        <w:rFonts w:cs="Arial"/>
        <w:noProof/>
        <w:snapToGrid w:val="0"/>
        <w:color w:val="000000"/>
        <w:sz w:val="16"/>
        <w:szCs w:val="16"/>
      </w:rPr>
      <w:t xml:space="preserve"> SGM 6105-A</w:t>
    </w:r>
    <w:r w:rsidR="00816BFD" w:rsidRPr="00816BFD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13210F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700272ED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7DE96F3" w:rsidR="00ED04EC" w:rsidRPr="00F50D98" w:rsidRDefault="00F50D98" w:rsidP="00062511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0475D" w14:textId="77777777" w:rsidR="0033420D" w:rsidRDefault="0033420D">
      <w:r>
        <w:separator/>
      </w:r>
    </w:p>
  </w:footnote>
  <w:footnote w:type="continuationSeparator" w:id="0">
    <w:p w14:paraId="03A7462D" w14:textId="77777777" w:rsidR="0033420D" w:rsidRDefault="0033420D">
      <w:r>
        <w:continuationSeparator/>
      </w:r>
    </w:p>
  </w:footnote>
  <w:footnote w:type="continuationNotice" w:id="1">
    <w:p w14:paraId="6890EFA5" w14:textId="77777777" w:rsidR="0033420D" w:rsidRDefault="003342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6427E4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6427E4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6427E4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6427E4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724701E3" w:rsidR="002B608C" w:rsidRPr="006427E4" w:rsidRDefault="00E066A8" w:rsidP="00ED04EC">
          <w:pPr>
            <w:pStyle w:val="Head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6105-A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7B485A"/>
    <w:multiLevelType w:val="hybridMultilevel"/>
    <w:tmpl w:val="E0247FD8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5C96CB3"/>
    <w:multiLevelType w:val="hybridMultilevel"/>
    <w:tmpl w:val="A54864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066E83"/>
    <w:multiLevelType w:val="hybridMultilevel"/>
    <w:tmpl w:val="8E467A08"/>
    <w:lvl w:ilvl="0" w:tplc="361C16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C801DC"/>
    <w:multiLevelType w:val="hybridMultilevel"/>
    <w:tmpl w:val="036E0860"/>
    <w:lvl w:ilvl="0" w:tplc="9B1E5ECE">
      <w:start w:val="1"/>
      <w:numFmt w:val="upperLetter"/>
      <w:pStyle w:val="ReferenceInternal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360B52"/>
    <w:multiLevelType w:val="hybridMultilevel"/>
    <w:tmpl w:val="47CCA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EB20E1"/>
    <w:multiLevelType w:val="hybridMultilevel"/>
    <w:tmpl w:val="A838F1F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4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9D18D0"/>
    <w:multiLevelType w:val="hybridMultilevel"/>
    <w:tmpl w:val="F5A0996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354DE9"/>
    <w:multiLevelType w:val="hybridMultilevel"/>
    <w:tmpl w:val="8862A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8519D2"/>
    <w:multiLevelType w:val="hybridMultilevel"/>
    <w:tmpl w:val="A0BA705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9050DC"/>
    <w:multiLevelType w:val="hybridMultilevel"/>
    <w:tmpl w:val="811A59D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6C60B7"/>
    <w:multiLevelType w:val="hybridMultilevel"/>
    <w:tmpl w:val="3194884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1F42DB"/>
    <w:multiLevelType w:val="hybridMultilevel"/>
    <w:tmpl w:val="8FC269EE"/>
    <w:lvl w:ilvl="0" w:tplc="C540E4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58326B1"/>
    <w:multiLevelType w:val="hybridMultilevel"/>
    <w:tmpl w:val="2320E4D8"/>
    <w:lvl w:ilvl="0" w:tplc="DA9C1D4E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8A38B5"/>
    <w:multiLevelType w:val="hybridMultilevel"/>
    <w:tmpl w:val="683403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33"/>
  </w:num>
  <w:num w:numId="3" w16cid:durableId="611589570">
    <w:abstractNumId w:val="24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21"/>
  </w:num>
  <w:num w:numId="17" w16cid:durableId="2128498676">
    <w:abstractNumId w:val="36"/>
  </w:num>
  <w:num w:numId="18" w16cid:durableId="299724409">
    <w:abstractNumId w:val="25"/>
  </w:num>
  <w:num w:numId="19" w16cid:durableId="214585573">
    <w:abstractNumId w:val="15"/>
  </w:num>
  <w:num w:numId="20" w16cid:durableId="1289816170">
    <w:abstractNumId w:val="17"/>
  </w:num>
  <w:num w:numId="21" w16cid:durableId="1066490929">
    <w:abstractNumId w:val="37"/>
  </w:num>
  <w:num w:numId="22" w16cid:durableId="1472481103">
    <w:abstractNumId w:val="28"/>
  </w:num>
  <w:num w:numId="23" w16cid:durableId="1997420403">
    <w:abstractNumId w:val="34"/>
  </w:num>
  <w:num w:numId="24" w16cid:durableId="33312838">
    <w:abstractNumId w:val="26"/>
  </w:num>
  <w:num w:numId="25" w16cid:durableId="507404939">
    <w:abstractNumId w:val="20"/>
  </w:num>
  <w:num w:numId="26" w16cid:durableId="1199008779">
    <w:abstractNumId w:val="16"/>
  </w:num>
  <w:num w:numId="27" w16cid:durableId="313687096">
    <w:abstractNumId w:val="22"/>
  </w:num>
  <w:num w:numId="28" w16cid:durableId="235746884">
    <w:abstractNumId w:val="11"/>
  </w:num>
  <w:num w:numId="29" w16cid:durableId="685014010">
    <w:abstractNumId w:val="23"/>
  </w:num>
  <w:num w:numId="30" w16cid:durableId="879166249">
    <w:abstractNumId w:val="32"/>
  </w:num>
  <w:num w:numId="31" w16cid:durableId="1243566383">
    <w:abstractNumId w:val="29"/>
  </w:num>
  <w:num w:numId="32" w16cid:durableId="1658726212">
    <w:abstractNumId w:val="19"/>
  </w:num>
  <w:num w:numId="33" w16cid:durableId="345324521">
    <w:abstractNumId w:val="31"/>
  </w:num>
  <w:num w:numId="34" w16cid:durableId="845704041">
    <w:abstractNumId w:val="30"/>
  </w:num>
  <w:num w:numId="35" w16cid:durableId="1879706093">
    <w:abstractNumId w:val="35"/>
  </w:num>
  <w:num w:numId="36" w16cid:durableId="1810242603">
    <w:abstractNumId w:val="14"/>
  </w:num>
  <w:num w:numId="37" w16cid:durableId="1341129603">
    <w:abstractNumId w:val="37"/>
  </w:num>
  <w:num w:numId="38" w16cid:durableId="1564099394">
    <w:abstractNumId w:val="37"/>
  </w:num>
  <w:num w:numId="39" w16cid:durableId="348216433">
    <w:abstractNumId w:val="18"/>
  </w:num>
  <w:num w:numId="40" w16cid:durableId="1083333297">
    <w:abstractNumId w:val="2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5C98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6F86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511"/>
    <w:rsid w:val="00062816"/>
    <w:rsid w:val="00064347"/>
    <w:rsid w:val="00064396"/>
    <w:rsid w:val="00065AC6"/>
    <w:rsid w:val="000661DB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3832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6C8"/>
    <w:rsid w:val="000A5AE5"/>
    <w:rsid w:val="000A71EC"/>
    <w:rsid w:val="000A7D51"/>
    <w:rsid w:val="000B0F9D"/>
    <w:rsid w:val="000B104D"/>
    <w:rsid w:val="000B1961"/>
    <w:rsid w:val="000B20CD"/>
    <w:rsid w:val="000B2E6C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6927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0F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2F4E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6A9A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4BA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95C"/>
    <w:rsid w:val="00244442"/>
    <w:rsid w:val="0024498F"/>
    <w:rsid w:val="00244D6C"/>
    <w:rsid w:val="002504F9"/>
    <w:rsid w:val="00250C39"/>
    <w:rsid w:val="00250E25"/>
    <w:rsid w:val="00251EE2"/>
    <w:rsid w:val="00252864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6E79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4B25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5D89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08C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D723B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40EC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C1E"/>
    <w:rsid w:val="00315D6F"/>
    <w:rsid w:val="00316DC1"/>
    <w:rsid w:val="00320652"/>
    <w:rsid w:val="003213DE"/>
    <w:rsid w:val="00321446"/>
    <w:rsid w:val="00322EB1"/>
    <w:rsid w:val="00323534"/>
    <w:rsid w:val="00323A7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420D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3F1B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4EA"/>
    <w:rsid w:val="003C47E1"/>
    <w:rsid w:val="003C4B87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0F0F"/>
    <w:rsid w:val="00401319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13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636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4E9A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50F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1476"/>
    <w:rsid w:val="004C3213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D6C37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0F18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76E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1C93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9B1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2C68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7E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572E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149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D76FA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0F23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7F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1EE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4A47"/>
    <w:rsid w:val="00785111"/>
    <w:rsid w:val="00785A2E"/>
    <w:rsid w:val="007860BA"/>
    <w:rsid w:val="00786EFB"/>
    <w:rsid w:val="007876BF"/>
    <w:rsid w:val="00787FE9"/>
    <w:rsid w:val="007908C6"/>
    <w:rsid w:val="007912A7"/>
    <w:rsid w:val="007917A1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99C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106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6BF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376D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6A99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59E9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D7D94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06CA"/>
    <w:rsid w:val="00901161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17D22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6F5A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760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6337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67D31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11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C2D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0B50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ECB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1F91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C5C"/>
    <w:rsid w:val="00AF6F09"/>
    <w:rsid w:val="00B00963"/>
    <w:rsid w:val="00B01716"/>
    <w:rsid w:val="00B01BDE"/>
    <w:rsid w:val="00B02279"/>
    <w:rsid w:val="00B03227"/>
    <w:rsid w:val="00B03852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5380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75D"/>
    <w:rsid w:val="00B55FE1"/>
    <w:rsid w:val="00B569FC"/>
    <w:rsid w:val="00B57430"/>
    <w:rsid w:val="00B574C8"/>
    <w:rsid w:val="00B57C0E"/>
    <w:rsid w:val="00B61A8B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1D0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FC6"/>
    <w:rsid w:val="00BE6B5E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43B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2E27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868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3EA6"/>
    <w:rsid w:val="00CE409F"/>
    <w:rsid w:val="00CE4870"/>
    <w:rsid w:val="00CE61C3"/>
    <w:rsid w:val="00CE6A0D"/>
    <w:rsid w:val="00CE71E6"/>
    <w:rsid w:val="00CE72B8"/>
    <w:rsid w:val="00CE76BE"/>
    <w:rsid w:val="00CE7E59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29FE"/>
    <w:rsid w:val="00D64807"/>
    <w:rsid w:val="00D6549B"/>
    <w:rsid w:val="00D65533"/>
    <w:rsid w:val="00D665CC"/>
    <w:rsid w:val="00D66B08"/>
    <w:rsid w:val="00D67252"/>
    <w:rsid w:val="00D67A94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C7F0E"/>
    <w:rsid w:val="00DD11EC"/>
    <w:rsid w:val="00DD1A9A"/>
    <w:rsid w:val="00DD1F42"/>
    <w:rsid w:val="00DD23B6"/>
    <w:rsid w:val="00DD34C0"/>
    <w:rsid w:val="00DD4EA3"/>
    <w:rsid w:val="00DD5193"/>
    <w:rsid w:val="00DD56B8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3C2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66A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B8E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6B1A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5FF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792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199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4C5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64F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3AB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4B34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09E50E91"/>
    <w:rsid w:val="0A4046FD"/>
    <w:rsid w:val="2965DFA6"/>
    <w:rsid w:val="29729D5D"/>
    <w:rsid w:val="4A76439B"/>
    <w:rsid w:val="4E7142CC"/>
    <w:rsid w:val="62C780E2"/>
    <w:rsid w:val="6B556E56"/>
    <w:rsid w:val="6D1DC6A4"/>
    <w:rsid w:val="77458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ReferenceInternalOrdered">
    <w:name w:val="Reference Internal Ordered"/>
    <w:basedOn w:val="ReferenceOrdered"/>
    <w:rsid w:val="00DE3C26"/>
    <w:pPr>
      <w:numPr>
        <w:numId w:val="39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827365-039F-46B7-9C50-F903B79CFD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2053</Characters>
  <Application>Microsoft Office Word</Application>
  <DocSecurity>0</DocSecurity>
  <Lines>44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</vt:vector>
  </HeadingPairs>
  <TitlesOfParts>
    <vt:vector size="13" baseType="lpstr">
      <vt:lpstr/>
      <vt:lpstr>Specialty Guideline Management Izervay</vt:lpstr>
      <vt:lpstr>    Products Referenced by this Document</vt:lpstr>
      <vt:lpstr>    Indications</vt:lpstr>
      <vt:lpstr>        FDA-Approved Indications1</vt:lpstr>
      <vt:lpstr>    Documentation</vt:lpstr>
      <vt:lpstr>    Exclusions</vt:lpstr>
      <vt:lpstr>    Prescriber Specialties</vt:lpstr>
      <vt:lpstr>    Coverage Criteria</vt:lpstr>
      <vt:lpstr>        Geographic Atrophy (GA) Secondary to Age-related Macular Degeneration (AMD)1,2</vt:lpstr>
      <vt:lpstr>    Continuation of Therapy</vt:lpstr>
      <vt:lpstr>    References</vt:lpstr>
      <vt:lpstr>    Documentation History</vt:lpstr>
    </vt:vector>
  </TitlesOfParts>
  <Company>PCS Health Systems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Izervay SGM 6105-A</dc:title>
  <dc:subject/>
  <dc:creator>CVS Caremark</dc:creator>
  <cp:keywords/>
  <cp:lastModifiedBy>Huerta, Linda M</cp:lastModifiedBy>
  <cp:revision>3</cp:revision>
  <cp:lastPrinted>2018-01-09T05:01:00Z</cp:lastPrinted>
  <dcterms:created xsi:type="dcterms:W3CDTF">2025-05-06T22:18:00Z</dcterms:created>
  <dcterms:modified xsi:type="dcterms:W3CDTF">2025-05-06T22:18:00Z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1627900</vt:r8>
  </property>
  <property fmtid="{D5CDD505-2E9C-101B-9397-08002B2CF9AE}" pid="12" name="ComplianceAssetId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  <property fmtid="{D5CDD505-2E9C-101B-9397-08002B2CF9AE}" pid="16" name="xd_ProgID">
    <vt:lpwstr/>
  </property>
  <property fmtid="{D5CDD505-2E9C-101B-9397-08002B2CF9AE}" pid="17" name="TemplateUrl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